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32.0" w:type="dxa"/>
        <w:jc w:val="left"/>
        <w:tblBorders>
          <w:top w:color="7f7f7f" w:space="0" w:sz="2" w:val="single"/>
          <w:left w:color="7f7f7f" w:space="0" w:sz="2" w:val="single"/>
          <w:bottom w:color="7f7f7f" w:space="0" w:sz="2" w:val="single"/>
          <w:right w:color="7f7f7f" w:space="0" w:sz="2" w:val="single"/>
          <w:insideH w:color="7f7f7f" w:space="0" w:sz="2" w:val="single"/>
          <w:insideV w:color="7f7f7f" w:space="0" w:sz="2" w:val="single"/>
        </w:tblBorders>
        <w:tblLayout w:type="fixed"/>
        <w:tblLook w:val="0000"/>
      </w:tblPr>
      <w:tblGrid>
        <w:gridCol w:w="1662"/>
        <w:gridCol w:w="988"/>
        <w:gridCol w:w="6182"/>
        <w:tblGridChange w:id="0">
          <w:tblGrid>
            <w:gridCol w:w="1662"/>
            <w:gridCol w:w="988"/>
            <w:gridCol w:w="6182"/>
          </w:tblGrid>
        </w:tblGridChange>
      </w:tblGrid>
      <w:tr>
        <w:trPr>
          <w:cantSplit w:val="0"/>
          <w:trHeight w:val="268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5"/>
              </w:tabs>
              <w:spacing w:after="0" w:before="1" w:line="246.99999999999994" w:lineRule="auto"/>
              <w:ind w:left="428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I.</w:t>
              <w:tab/>
              <w:t xml:space="preserve">DATOS DEL PROGRAMA Y LA ASIGNATURA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112" w:right="465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NOMBRE DEL PROGRAMA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" w:line="240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MAESTRÍA EN CIENCIAS EN EL USO, MANEJO Y PRESERVACIÓN DE LOS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240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RECURSOS NATURALES</w:t>
            </w:r>
          </w:p>
        </w:tc>
      </w:tr>
      <w:tr>
        <w:trPr>
          <w:cantSplit w:val="0"/>
          <w:trHeight w:val="5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2" w:right="288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NOMBRE DE LA ASIGNATURA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2" w:line="240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Ingeniería acuícola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61" w:lineRule="auto"/>
              <w:ind w:left="11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CLAVE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91</w:t>
            </w: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2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spacing w:line="360" w:lineRule="auto"/>
        <w:jc w:val="center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6625.000000000001" w:type="dxa"/>
        <w:jc w:val="left"/>
        <w:tblInd w:w="121.0" w:type="dxa"/>
        <w:tblBorders>
          <w:top w:color="7f7f7f" w:space="0" w:sz="2" w:val="single"/>
          <w:left w:color="7f7f7f" w:space="0" w:sz="2" w:val="single"/>
          <w:bottom w:color="7f7f7f" w:space="0" w:sz="2" w:val="single"/>
          <w:right w:color="7f7f7f" w:space="0" w:sz="2" w:val="single"/>
          <w:insideH w:color="7f7f7f" w:space="0" w:sz="2" w:val="single"/>
          <w:insideV w:color="7f7f7f" w:space="0" w:sz="2" w:val="single"/>
        </w:tblBorders>
        <w:tblLayout w:type="fixed"/>
        <w:tblLook w:val="0000"/>
      </w:tblPr>
      <w:tblGrid>
        <w:gridCol w:w="2227"/>
        <w:gridCol w:w="1449"/>
        <w:gridCol w:w="681"/>
        <w:gridCol w:w="1487"/>
        <w:gridCol w:w="781"/>
        <w:tblGridChange w:id="0">
          <w:tblGrid>
            <w:gridCol w:w="2227"/>
            <w:gridCol w:w="1449"/>
            <w:gridCol w:w="681"/>
            <w:gridCol w:w="1487"/>
            <w:gridCol w:w="781"/>
          </w:tblGrid>
        </w:tblGridChange>
      </w:tblGrid>
      <w:tr>
        <w:trPr>
          <w:cantSplit w:val="0"/>
          <w:trHeight w:val="30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1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TIPO DE ASIGNATURA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1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OBLIGATORIA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1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OPTATIVA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2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</w:t>
            </w:r>
          </w:p>
        </w:tc>
      </w:tr>
    </w:tbl>
    <w:p w:rsidR="00000000" w:rsidDel="00000000" w:rsidP="00000000" w:rsidRDefault="00000000" w:rsidRPr="00000000" w14:paraId="00000015">
      <w:pPr>
        <w:spacing w:line="360" w:lineRule="auto"/>
        <w:jc w:val="center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720.0" w:type="dxa"/>
        <w:jc w:val="left"/>
        <w:tblInd w:w="12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27"/>
        <w:gridCol w:w="1142"/>
        <w:gridCol w:w="595"/>
        <w:gridCol w:w="1104"/>
        <w:gridCol w:w="710"/>
        <w:gridCol w:w="2126"/>
        <w:gridCol w:w="816"/>
        <w:tblGridChange w:id="0">
          <w:tblGrid>
            <w:gridCol w:w="2227"/>
            <w:gridCol w:w="1142"/>
            <w:gridCol w:w="595"/>
            <w:gridCol w:w="1104"/>
            <w:gridCol w:w="710"/>
            <w:gridCol w:w="2126"/>
            <w:gridCol w:w="816"/>
          </w:tblGrid>
        </w:tblGridChange>
      </w:tblGrid>
      <w:tr>
        <w:trPr>
          <w:cantSplit w:val="0"/>
          <w:trHeight w:val="2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1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TIPO DE ASIGNATURA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1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TEÓRICA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11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PRÁCTICA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11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TEÓRICA-PRÁCTICA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17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line="360" w:lineRule="auto"/>
        <w:jc w:val="center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6231.0" w:type="dxa"/>
        <w:jc w:val="left"/>
        <w:tblInd w:w="121.0" w:type="dxa"/>
        <w:tblBorders>
          <w:top w:color="7f7f7f" w:space="0" w:sz="2" w:val="single"/>
          <w:left w:color="7f7f7f" w:space="0" w:sz="2" w:val="single"/>
          <w:bottom w:color="7f7f7f" w:space="0" w:sz="2" w:val="single"/>
          <w:right w:color="7f7f7f" w:space="0" w:sz="2" w:val="single"/>
          <w:insideH w:color="7f7f7f" w:space="0" w:sz="2" w:val="single"/>
          <w:insideV w:color="7f7f7f" w:space="0" w:sz="2" w:val="single"/>
        </w:tblBorders>
        <w:tblLayout w:type="fixed"/>
        <w:tblLook w:val="0000"/>
      </w:tblPr>
      <w:tblGrid>
        <w:gridCol w:w="3826"/>
        <w:gridCol w:w="2405"/>
        <w:tblGridChange w:id="0">
          <w:tblGrid>
            <w:gridCol w:w="3826"/>
            <w:gridCol w:w="2405"/>
          </w:tblGrid>
        </w:tblGridChange>
      </w:tblGrid>
      <w:tr>
        <w:trPr>
          <w:cantSplit w:val="0"/>
          <w:trHeight w:val="2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61" w:lineRule="auto"/>
              <w:ind w:left="11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NÚMERO DE HORAS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308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60</w:t>
            </w:r>
          </w:p>
        </w:tc>
      </w:tr>
      <w:tr>
        <w:trPr>
          <w:cantSplit w:val="0"/>
          <w:trHeight w:val="30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61" w:lineRule="auto"/>
              <w:ind w:left="11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NÚMERO DE CRÉDITOS*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8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</w:tr>
      <w:tr>
        <w:trPr>
          <w:cantSplit w:val="0"/>
          <w:trHeight w:val="30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66" w:lineRule="auto"/>
              <w:ind w:left="11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TRIMESTRE EN EL QUE SE IMPARTIRÁ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28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Mayo-Agosto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61" w:lineRule="auto"/>
              <w:ind w:left="11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FECHA DE ÚLTIMA ACTUALIZACIÓN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28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2019/11/14</w:t>
            </w:r>
          </w:p>
        </w:tc>
      </w:tr>
    </w:tbl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7"/>
        </w:tabs>
        <w:spacing w:after="0" w:before="1" w:line="240" w:lineRule="auto"/>
        <w:ind w:left="256" w:right="0" w:hanging="141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Cada crédito equivale a ocho horas de clases teóricas, 16 horas de clases prácticas o 30 horas de trabajo de investigación.</w:t>
      </w:r>
    </w:p>
    <w:p w:rsidR="00000000" w:rsidDel="00000000" w:rsidP="00000000" w:rsidRDefault="00000000" w:rsidRPr="00000000" w14:paraId="00000027">
      <w:pPr>
        <w:spacing w:line="360" w:lineRule="auto"/>
        <w:jc w:val="center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832.0" w:type="dxa"/>
        <w:jc w:val="left"/>
        <w:tblBorders>
          <w:top w:color="7f7f7f" w:space="0" w:sz="2" w:val="single"/>
          <w:left w:color="7f7f7f" w:space="0" w:sz="2" w:val="single"/>
          <w:bottom w:color="7f7f7f" w:space="0" w:sz="2" w:val="single"/>
          <w:right w:color="7f7f7f" w:space="0" w:sz="2" w:val="single"/>
          <w:insideH w:color="7f7f7f" w:space="0" w:sz="2" w:val="single"/>
          <w:insideV w:color="7f7f7f" w:space="0" w:sz="2" w:val="single"/>
        </w:tblBorders>
        <w:tblLayout w:type="fixed"/>
        <w:tblLook w:val="0000"/>
      </w:tblPr>
      <w:tblGrid>
        <w:gridCol w:w="2817"/>
        <w:gridCol w:w="6015"/>
        <w:tblGridChange w:id="0">
          <w:tblGrid>
            <w:gridCol w:w="2817"/>
            <w:gridCol w:w="6015"/>
          </w:tblGrid>
        </w:tblGridChange>
      </w:tblGrid>
      <w:tr>
        <w:trPr>
          <w:cantSplit w:val="0"/>
          <w:trHeight w:val="5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" w:right="1111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RESPONSABLE DE LA ASIGNATURA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3" w:line="240" w:lineRule="auto"/>
              <w:ind w:left="151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2222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Dr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22222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2222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José Naranjo Paramo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4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SUPLENTE DE LA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6.99999999999994" w:lineRule="auto"/>
              <w:ind w:left="14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ASIGNATURA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0" w:line="240" w:lineRule="auto"/>
              <w:ind w:left="151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22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Dr. Edilmar Cortes Jacinto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PROFESORES PARTICIPANTES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shd w:fill="ffffff" w:val="clear"/>
              <w:rPr>
                <w:rFonts w:ascii="Arial" w:cs="Arial" w:eastAsia="Arial" w:hAnsi="Arial"/>
                <w:b w:val="1"/>
                <w:color w:val="2222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222222"/>
                <w:rtl w:val="0"/>
              </w:rPr>
              <w:t xml:space="preserve">Dr. Armando Monge Quevedo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hd w:fill="ffffff" w:val="clear"/>
              <w:rPr>
                <w:rFonts w:ascii="Arial" w:cs="Arial" w:eastAsia="Arial" w:hAnsi="Arial"/>
                <w:b w:val="1"/>
                <w:color w:val="2222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222222"/>
                <w:rtl w:val="0"/>
              </w:rPr>
              <w:t xml:space="preserve">  Dr. José Naranjo Paramo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hd w:fill="ffffff" w:val="clear"/>
              <w:rPr>
                <w:rFonts w:ascii="Arial" w:cs="Arial" w:eastAsia="Arial" w:hAnsi="Arial"/>
                <w:b w:val="1"/>
                <w:color w:val="2222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222222"/>
                <w:rtl w:val="0"/>
              </w:rPr>
              <w:t xml:space="preserve">  Dr. Ángel Isidro Campa Córdova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hd w:fill="ffffff" w:val="clear"/>
              <w:rPr>
                <w:rFonts w:ascii="Arial" w:cs="Arial" w:eastAsia="Arial" w:hAnsi="Arial"/>
                <w:b w:val="1"/>
                <w:color w:val="2222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222222"/>
                <w:rtl w:val="0"/>
              </w:rPr>
              <w:t xml:space="preserve">  M.C. Jose Delfino Bajaras Frias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hd w:fill="ffffff" w:val="clea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222222"/>
                <w:rtl w:val="0"/>
              </w:rPr>
              <w:t xml:space="preserve">  Dr. Edilmar Cortes Jacinto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spacing w:line="360" w:lineRule="auto"/>
        <w:jc w:val="center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jc w:val="center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832.0" w:type="dxa"/>
        <w:jc w:val="left"/>
        <w:tblBorders>
          <w:top w:color="7f7f7f" w:space="0" w:sz="2" w:val="single"/>
          <w:left w:color="7f7f7f" w:space="0" w:sz="2" w:val="single"/>
          <w:bottom w:color="7f7f7f" w:space="0" w:sz="2" w:val="single"/>
          <w:right w:color="7f7f7f" w:space="0" w:sz="2" w:val="single"/>
          <w:insideH w:color="7f7f7f" w:space="0" w:sz="2" w:val="single"/>
          <w:insideV w:color="7f7f7f" w:space="0" w:sz="2" w:val="single"/>
        </w:tblBorders>
        <w:tblLayout w:type="fixed"/>
        <w:tblLook w:val="0000"/>
      </w:tblPr>
      <w:tblGrid>
        <w:gridCol w:w="8832"/>
        <w:tblGridChange w:id="0">
          <w:tblGrid>
            <w:gridCol w:w="8832"/>
          </w:tblGrid>
        </w:tblGridChange>
      </w:tblGrid>
      <w:tr>
        <w:trPr>
          <w:cantSplit w:val="0"/>
          <w:trHeight w:val="25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5"/>
              </w:tabs>
              <w:spacing w:after="0" w:before="1" w:line="237" w:lineRule="auto"/>
              <w:ind w:left="472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II.</w:t>
              <w:tab/>
              <w:t xml:space="preserve">DESCRIPCIÓN DEL CONTENIDO DEL PROGRAMA DEL CURSO O ASIGNATURA</w:t>
            </w:r>
          </w:p>
        </w:tc>
      </w:tr>
      <w:tr>
        <w:trPr>
          <w:cantSplit w:val="0"/>
          <w:trHeight w:val="2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4" w:lineRule="auto"/>
              <w:ind w:left="832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OBJETIVO GENERAL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4" w:lineRule="auto"/>
              <w:ind w:left="832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Proporcionar al estudiante la información, y herramientas necesarias para el diseño, construcción, operación y optimización de sistemas acuícolas de producción comercial.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9" w:line="240" w:lineRule="auto"/>
              <w:ind w:left="430" w:right="0" w:firstLine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single"/>
                <w:shd w:fill="auto" w:val="clear"/>
                <w:vertAlign w:val="baseline"/>
                <w:rtl w:val="0"/>
              </w:rPr>
              <w:t xml:space="preserve">Objetivos específicos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Desarrollo de actividades de fomento investigación, diagnóstico, evaluación, manejo y conservación de especies acuicolas.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Desarrollo de técnicas orientadas a proyectos de investigación, básica, de frontera y desarrollo biotecnológico.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El alumno obtendra la capacitacion para evaluar y manejar sistemas y modelos de producción acuícola con fines de aprovechamiento sustentable de especies acuicolas, y repoblamiento de especies nativas</w:t>
            </w:r>
          </w:p>
        </w:tc>
      </w:tr>
    </w:tbl>
    <w:p w:rsidR="00000000" w:rsidDel="00000000" w:rsidP="00000000" w:rsidRDefault="00000000" w:rsidRPr="00000000" w14:paraId="0000003C">
      <w:pPr>
        <w:spacing w:line="360" w:lineRule="auto"/>
        <w:jc w:val="center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jc w:val="center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8832.0" w:type="dxa"/>
        <w:jc w:val="left"/>
        <w:tblBorders>
          <w:top w:color="7f7f7f" w:space="0" w:sz="2" w:val="single"/>
          <w:left w:color="7f7f7f" w:space="0" w:sz="2" w:val="single"/>
          <w:bottom w:color="7f7f7f" w:space="0" w:sz="2" w:val="single"/>
          <w:right w:color="7f7f7f" w:space="0" w:sz="2" w:val="single"/>
          <w:insideH w:color="7f7f7f" w:space="0" w:sz="2" w:val="single"/>
          <w:insideV w:color="7f7f7f" w:space="0" w:sz="2" w:val="single"/>
        </w:tblBorders>
        <w:tblLayout w:type="fixed"/>
        <w:tblLook w:val="0000"/>
      </w:tblPr>
      <w:tblGrid>
        <w:gridCol w:w="7707"/>
        <w:gridCol w:w="1125"/>
        <w:tblGridChange w:id="0">
          <w:tblGrid>
            <w:gridCol w:w="7707"/>
            <w:gridCol w:w="1125"/>
          </w:tblGrid>
        </w:tblGridChange>
      </w:tblGrid>
      <w:tr>
        <w:trPr>
          <w:cantSplit w:val="0"/>
          <w:trHeight w:val="259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8"/>
              </w:tabs>
              <w:spacing w:after="0" w:before="0" w:line="239" w:lineRule="auto"/>
              <w:ind w:left="431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B)</w:t>
              <w:tab/>
              <w:t xml:space="preserve">DESCRIPCIÓN DEL CONTENIDO</w:t>
            </w:r>
          </w:p>
        </w:tc>
      </w:tr>
      <w:tr>
        <w:trPr>
          <w:cantSplit w:val="0"/>
          <w:trHeight w:val="50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1" w:line="240" w:lineRule="auto"/>
              <w:ind w:left="11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TEMAS Y SUBTEMAS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2.00000000000003" w:lineRule="auto"/>
              <w:ind w:left="301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TIEMPO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6" w:lineRule="auto"/>
              <w:ind w:left="331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(Horas)</w:t>
            </w:r>
          </w:p>
        </w:tc>
      </w:tr>
      <w:tr>
        <w:trPr>
          <w:cantSplit w:val="0"/>
          <w:trHeight w:val="116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UNIDAD I. Introducción   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1.1 Ingeniería Acuícola   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1.2 Clasificación de sistemas de producción acuícola   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1.3 Componentes técnicos de una granja de cultivo   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1416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1.3.1 Laboratorios de producción de semilla   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1416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1.3.2 Precrías   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1416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1.3.3 Sistemas de engorda   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2124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1.3.3.1 Estanques   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2124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1.3.3.2 Jaulas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99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1.4 Tendencias futuras. La relevancia de la ingeniería acuícola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</w:tr>
      <w:tr>
        <w:trPr>
          <w:cantSplit w:val="0"/>
          <w:trHeight w:val="116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UNIDAD II. Agua   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2.1 Introducción   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2.2 Tuberías   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2.3 Flujo de agua, pérdidas en canales y tuberías   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1416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2.3.1 Flujo de agua   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1416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2.3.2 Pérdidas en tuberías   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1416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2.3.3 Pérdidas en accesorios   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2.4 Bombas  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1416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2.4.1 Tipos de bombas   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1416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2.4.2 Definiciones básicas   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1416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2.4.3 Requerimiento de energía para el bombeo   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1416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2.4.4 Bombas centrífugas   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1416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2.4.5 Curvas de rendimiento de bombas y punto óptimo de operación   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1416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2.4.6 Cambio de presión de agua   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1416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2.4.7 Regulación de flujo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</w:tr>
      <w:tr>
        <w:trPr>
          <w:cantSplit w:val="0"/>
          <w:trHeight w:val="17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50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UNIDAD III. Calidad de agua y tratamiento. Una introducción   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50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3.1 Calidad de agua   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50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3.2 Suministro   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50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3.3 Descarga 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50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3.4 Tratamiento de agua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1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</w:tr>
      <w:tr>
        <w:trPr>
          <w:cantSplit w:val="0"/>
          <w:trHeight w:val="1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UNIDAD IV. Remoción de partículas   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4.1 Introducción   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4.2 Caracterización de tipos de agua   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4.3 Métodos de remoción de partículas   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1416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4.3.1 Filtros mecánicos     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1416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4.3.2 Sistemas integrados de filtración   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45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4.4 Carga hidráulica de unidades de filtrado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</w:tr>
      <w:tr>
        <w:trPr>
          <w:cantSplit w:val="0"/>
          <w:trHeight w:val="11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50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UNIDAD V. Desinfección   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50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5.1 Introducción   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50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5.2 Bases de la desinfección   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50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5.3 Luz Ultravioleta   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50" w:line="240" w:lineRule="auto"/>
              <w:ind w:left="1416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5.3.1. Función   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50" w:line="240" w:lineRule="auto"/>
              <w:ind w:left="1416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5.3.2. Modo de acción   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50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5.4 Ozono   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50" w:line="240" w:lineRule="auto"/>
              <w:ind w:left="1416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5.4.1. Función   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50" w:line="240" w:lineRule="auto"/>
              <w:ind w:left="1416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5.4.2. Modo de acción   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50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5.5 Otros sistemas de desinfección   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50" w:line="240" w:lineRule="auto"/>
              <w:ind w:left="1416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5.5.1 Calor   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50" w:line="240" w:lineRule="auto"/>
              <w:ind w:left="1416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5.5.2 Cloración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</w:tr>
      <w:tr>
        <w:trPr>
          <w:cantSplit w:val="0"/>
          <w:trHeight w:val="2006" w:hRule="atLeast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50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UNIDAD VI. Calentadores y enfriadores   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50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6.1 Introducción   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50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6.2 Requerimientos de energía para calentar   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50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6.3 Métodos de calentamiento de agua   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50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6.4 Tipos de Calentadores  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50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6.5 Intercambiadores de calor   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92"/>
                <w:tab w:val="left" w:leader="none" w:pos="993"/>
              </w:tabs>
              <w:spacing w:after="0" w:before="50" w:line="240" w:lineRule="auto"/>
              <w:ind w:left="99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6.6 Enfriamiento de agua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3" w:line="240" w:lineRule="auto"/>
              <w:ind w:left="504" w:right="484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</w:tr>
      <w:tr>
        <w:trPr>
          <w:cantSplit w:val="0"/>
          <w:trHeight w:val="8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89"/>
                <w:tab w:val="left" w:leader="none" w:pos="990"/>
              </w:tabs>
              <w:spacing w:after="0" w:before="46" w:line="240" w:lineRule="auto"/>
              <w:ind w:left="989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UNIDAD VII. Aireación y oxigenación 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89"/>
                <w:tab w:val="left" w:leader="none" w:pos="990"/>
              </w:tabs>
              <w:spacing w:after="0" w:before="46" w:line="240" w:lineRule="auto"/>
              <w:ind w:left="989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7.1 Introducción   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89"/>
                <w:tab w:val="left" w:leader="none" w:pos="990"/>
              </w:tabs>
              <w:spacing w:after="0" w:before="46" w:line="240" w:lineRule="auto"/>
              <w:ind w:left="989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7.2 Diseño y construcción de aireadores   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89"/>
                <w:tab w:val="left" w:leader="none" w:pos="990"/>
              </w:tabs>
              <w:spacing w:after="0" w:before="46" w:line="240" w:lineRule="auto"/>
              <w:ind w:left="989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7.3 Transferencia de oxígeno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</w:tr>
      <w:tr>
        <w:trPr>
          <w:cantSplit w:val="0"/>
          <w:trHeight w:val="8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89"/>
                <w:tab w:val="left" w:leader="none" w:pos="990"/>
              </w:tabs>
              <w:spacing w:after="0" w:before="46" w:line="240" w:lineRule="auto"/>
              <w:ind w:left="989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UNIDAD VIII. Alimentadores automáticos 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89"/>
                <w:tab w:val="left" w:leader="none" w:pos="990"/>
              </w:tabs>
              <w:spacing w:after="0" w:before="46" w:line="240" w:lineRule="auto"/>
              <w:ind w:left="989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8.1 Introducción   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89"/>
                <w:tab w:val="left" w:leader="none" w:pos="990"/>
              </w:tabs>
              <w:spacing w:after="0" w:before="46" w:line="240" w:lineRule="auto"/>
              <w:ind w:left="989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8.2 Tipos de equipos de alimentación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rPr>
          <w:cantSplit w:val="0"/>
          <w:trHeight w:val="8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89"/>
                <w:tab w:val="left" w:leader="none" w:pos="990"/>
              </w:tabs>
              <w:spacing w:after="0" w:before="46" w:line="240" w:lineRule="auto"/>
              <w:ind w:left="989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UNIDAD IX. Monitoreo de calidad de agua </w:t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89"/>
                <w:tab w:val="left" w:leader="none" w:pos="990"/>
              </w:tabs>
              <w:spacing w:after="0" w:before="46" w:line="240" w:lineRule="auto"/>
              <w:ind w:left="989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9.1 Variables de monitoreo 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89"/>
                <w:tab w:val="left" w:leader="none" w:pos="990"/>
              </w:tabs>
              <w:spacing w:after="0" w:before="46" w:line="240" w:lineRule="auto"/>
              <w:ind w:left="989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9.2 Equipos de monitoreo 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89"/>
                <w:tab w:val="left" w:leader="none" w:pos="990"/>
              </w:tabs>
              <w:spacing w:after="0" w:before="46" w:line="240" w:lineRule="auto"/>
              <w:ind w:left="989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9.3 Sistemas de monitoreo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rPr>
          <w:cantSplit w:val="0"/>
          <w:trHeight w:val="8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89"/>
                <w:tab w:val="left" w:leader="none" w:pos="990"/>
              </w:tabs>
              <w:spacing w:after="0" w:before="46" w:line="240" w:lineRule="auto"/>
              <w:ind w:left="989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UNIDAD X. Diseño y construcción de Sistemas de cultivo acuícola.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89"/>
                <w:tab w:val="left" w:leader="none" w:pos="990"/>
              </w:tabs>
              <w:spacing w:after="0" w:before="46" w:line="240" w:lineRule="auto"/>
              <w:ind w:left="989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 Laboratorios de producción de semilla de moluscos   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89"/>
                <w:tab w:val="left" w:leader="none" w:pos="990"/>
              </w:tabs>
              <w:spacing w:after="0" w:before="46" w:line="240" w:lineRule="auto"/>
              <w:ind w:left="989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10.2 Laboratorios de producción de seminal de crustáceos   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89"/>
                <w:tab w:val="left" w:leader="none" w:pos="990"/>
              </w:tabs>
              <w:spacing w:after="0" w:before="46" w:line="240" w:lineRule="auto"/>
              <w:ind w:left="989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10.3 Laboratorios de producción de semilla de peces   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89"/>
                <w:tab w:val="left" w:leader="none" w:pos="990"/>
              </w:tabs>
              <w:spacing w:after="0" w:before="46" w:line="240" w:lineRule="auto"/>
              <w:ind w:left="989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10.4 Precrías   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89"/>
                <w:tab w:val="left" w:leader="none" w:pos="990"/>
              </w:tabs>
              <w:spacing w:after="0" w:before="46" w:line="240" w:lineRule="auto"/>
              <w:ind w:left="989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10.5 Sistemas de engorda de moluscos   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89"/>
                <w:tab w:val="left" w:leader="none" w:pos="990"/>
              </w:tabs>
              <w:spacing w:after="0" w:before="46" w:line="240" w:lineRule="auto"/>
              <w:ind w:left="989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10.6 Sistemas de engorda de crustáceos   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89"/>
                <w:tab w:val="left" w:leader="none" w:pos="990"/>
              </w:tabs>
              <w:spacing w:after="0" w:before="46" w:line="240" w:lineRule="auto"/>
              <w:ind w:left="989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10.7 Sistemas de engorda de peces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</w:tr>
      <w:tr>
        <w:trPr>
          <w:cantSplit w:val="0"/>
          <w:trHeight w:val="8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89"/>
                <w:tab w:val="left" w:leader="none" w:pos="990"/>
              </w:tabs>
              <w:spacing w:after="0" w:before="46" w:line="240" w:lineRule="auto"/>
              <w:ind w:left="989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UNIDAD XI. Planeación de facilidades acuícolas 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89"/>
                <w:tab w:val="left" w:leader="none" w:pos="990"/>
              </w:tabs>
              <w:spacing w:after="0" w:before="46" w:line="240" w:lineRule="auto"/>
              <w:ind w:left="989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 Proceso de planeación   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89"/>
                <w:tab w:val="left" w:leader="none" w:pos="990"/>
              </w:tabs>
              <w:spacing w:after="0" w:before="46" w:line="240" w:lineRule="auto"/>
              <w:ind w:left="989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11.2 Selección de sitio   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89"/>
                <w:tab w:val="left" w:leader="none" w:pos="990"/>
              </w:tabs>
              <w:spacing w:after="0" w:before="46" w:line="240" w:lineRule="auto"/>
              <w:ind w:left="989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11.3 Plan de producción   </w:t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89"/>
                <w:tab w:val="left" w:leader="none" w:pos="990"/>
              </w:tabs>
              <w:spacing w:after="0" w:before="46" w:line="240" w:lineRule="auto"/>
              <w:ind w:left="989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11.4 Análisis   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89"/>
                <w:tab w:val="left" w:leader="none" w:pos="990"/>
              </w:tabs>
              <w:spacing w:after="0" w:before="46" w:line="240" w:lineRule="auto"/>
              <w:ind w:left="989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11.5 Revisión del proyecto.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</w:tr>
      <w:tr>
        <w:trPr>
          <w:cantSplit w:val="0"/>
          <w:trHeight w:val="8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89"/>
                <w:tab w:val="left" w:leader="none" w:pos="990"/>
              </w:tabs>
              <w:spacing w:after="0" w:before="46" w:line="240" w:lineRule="auto"/>
              <w:ind w:left="989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60</w:t>
            </w:r>
          </w:p>
        </w:tc>
      </w:tr>
    </w:tbl>
    <w:p w:rsidR="00000000" w:rsidDel="00000000" w:rsidP="00000000" w:rsidRDefault="00000000" w:rsidRPr="00000000" w14:paraId="000000A1">
      <w:pPr>
        <w:spacing w:line="360" w:lineRule="auto"/>
        <w:jc w:val="center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360" w:lineRule="auto"/>
        <w:jc w:val="center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28"/>
        <w:tblGridChange w:id="0">
          <w:tblGrid>
            <w:gridCol w:w="882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3">
            <w:pPr>
              <w:spacing w:line="36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III.  BIBLIOGRAFÍA</w:t>
            </w:r>
          </w:p>
        </w:tc>
      </w:tr>
      <w:tr>
        <w:trPr>
          <w:cantSplit w:val="0"/>
          <w:trHeight w:val="267" w:hRule="atLeast"/>
          <w:tblHeader w:val="0"/>
        </w:trPr>
        <w:tc>
          <w:tcPr/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326" w:hanging="36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Balasubramanian, B., Liu, W.C., Sattanathan, G., 2022. Aquaculture Science and Engineering.; Springer: Singapore. 572 p.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326" w:hanging="36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Lekang, O. 2007. Aquaculture Engineering. Blackwell Publishing.   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326" w:hanging="36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Martinez-Cordova L.R and Martínez-Porchas, M. 2025 Strategies for Sustainable Shrimp Aquaculture. Elsevier, Academic Press 250 p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326" w:hanging="36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Tryggvason, A.O. 2016. A Systematic View on a Recirculating Aquaculture System: Causality Relation Between Variables, Master’s thesis, Faculty of Industrial Engineering, Mechanical Engineering and Computer Science, University of Iceland, pp. 65. </w:t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326" w:hanging="36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Vega-Villasante, F., Cortés-Jacinto, E., Reyes-Juárez, A. y F.G. Cupul-Magaña. 2006. Manual técnico para la producción de jaiba suave en el Pacífico mexicano. Universidad de Guadalajara, Centro Universitario de la Costa, México. 75 pp. ISBN: 970-27-0991-1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326" w:hanging="360"/>
              <w:jc w:val="both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Wheaton, Frederick W. 1985. Aquaculture Engineering. Krieger Publishing Co. Malabar, Florida. 708 pp.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A">
      <w:pPr>
        <w:spacing w:line="360" w:lineRule="auto"/>
        <w:jc w:val="center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28"/>
        <w:tblGridChange w:id="0">
          <w:tblGrid>
            <w:gridCol w:w="882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B">
            <w:pPr>
              <w:spacing w:line="36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IV. PROCEDIMIENTO O INSTRUMENTOS DE EVALUACIÓN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C">
            <w:pPr>
              <w:spacing w:line="360" w:lineRule="auto"/>
              <w:jc w:val="both"/>
              <w:rPr/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MODALIDADES DE EVALUACION DE LA ASIGNATURA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D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 examen (con valor de 50% de la calificación final), un proyecto de diseño de sistemas de cultivo acuícola (con valor de 50% de la calificación final).</w:t>
            </w:r>
          </w:p>
          <w:p w:rsidR="00000000" w:rsidDel="00000000" w:rsidP="00000000" w:rsidRDefault="00000000" w:rsidRPr="00000000" w14:paraId="000000AE">
            <w:pPr>
              <w:spacing w:line="276" w:lineRule="auto"/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line="360" w:lineRule="auto"/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ACTIVIDADES DE APRENDIZAJE </w:t>
            </w:r>
          </w:p>
          <w:p w:rsidR="00000000" w:rsidDel="00000000" w:rsidP="00000000" w:rsidRDefault="00000000" w:rsidRPr="00000000" w14:paraId="000000B0">
            <w:pPr>
              <w:spacing w:line="276" w:lineRule="auto"/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El alumno participará en el desarrollo de sistemas de cultivo acuícola a partir de la información obtenida en la bibliografía seleccionada para la materia y las aportaciones de panelistas expertos en el tema.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line="36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line="36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line="36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pStyle w:val="Heading1"/>
              <w:spacing w:line="242" w:lineRule="auto"/>
              <w:ind w:firstLine="231"/>
              <w:rPr/>
            </w:pPr>
            <w:r w:rsidDel="00000000" w:rsidR="00000000" w:rsidRPr="00000000">
              <w:rPr>
                <w:rtl w:val="0"/>
              </w:rPr>
              <w:t xml:space="preserve">Evaluación</w:t>
            </w:r>
          </w:p>
          <w:p w:rsidR="00000000" w:rsidDel="00000000" w:rsidP="00000000" w:rsidRDefault="00000000" w:rsidRPr="00000000" w14:paraId="000000B5">
            <w:pPr>
              <w:spacing w:line="36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line="360" w:lineRule="auto"/>
              <w:jc w:val="center"/>
              <w:rPr>
                <w:rFonts w:ascii="Noto Sans" w:cs="Noto Sans" w:eastAsia="Noto Sans" w:hAnsi="Noto Sans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spacing w:line="36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Presentación de trabajo de revisión y asistencia 70%</w:t>
            </w:r>
          </w:p>
          <w:p w:rsidR="00000000" w:rsidDel="00000000" w:rsidP="00000000" w:rsidRDefault="00000000" w:rsidRPr="00000000" w14:paraId="000000B8">
            <w:pPr>
              <w:spacing w:line="36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Evaluación de trabajo por escrito 20%</w:t>
            </w:r>
          </w:p>
          <w:p w:rsidR="00000000" w:rsidDel="00000000" w:rsidP="00000000" w:rsidRDefault="00000000" w:rsidRPr="00000000" w14:paraId="000000B9">
            <w:pPr>
              <w:spacing w:line="36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Discusión de artículos científicos, y divulgación científica 10%</w:t>
            </w:r>
          </w:p>
          <w:p w:rsidR="00000000" w:rsidDel="00000000" w:rsidP="00000000" w:rsidRDefault="00000000" w:rsidRPr="00000000" w14:paraId="000000BA">
            <w:pPr>
              <w:spacing w:line="36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line="36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line="36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D">
      <w:pPr>
        <w:spacing w:line="360" w:lineRule="auto"/>
        <w:jc w:val="center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1417" w:top="2341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1243013</wp:posOffset>
              </wp:positionH>
              <wp:positionV relativeFrom="paragraph">
                <wp:posOffset>-225740</wp:posOffset>
              </wp:positionV>
              <wp:extent cx="5015158" cy="226127"/>
              <wp:effectExtent b="0" l="0" r="0" t="0"/>
              <wp:wrapNone/>
              <wp:docPr id="1051691622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843184" y="3671699"/>
                        <a:ext cx="5005633" cy="21660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4d182a"/>
                              <w:sz w:val="11"/>
                              <w:vertAlign w:val="baseline"/>
                            </w:rPr>
                            <w:t xml:space="preserve">Av. Instituto Politécnico Nacional No. 195, Playa Palo de Santa Rita Sur, CP. 23096, La Paz, B.C.S., México. Tel: (52) 612 123 8484 www.cibnor.gob.mx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4d182a"/>
                              <w:sz w:val="11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 Medium" w:cs="Noto Sans Medium" w:eastAsia="Noto Sans Medium" w:hAnsi="Noto Sans Medium"/>
                              <w:b w:val="0"/>
                              <w:i w:val="0"/>
                              <w:smallCaps w:val="0"/>
                              <w:strike w:val="0"/>
                              <w:color w:val="4d182a"/>
                              <w:sz w:val="13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1243013</wp:posOffset>
              </wp:positionH>
              <wp:positionV relativeFrom="paragraph">
                <wp:posOffset>-225740</wp:posOffset>
              </wp:positionV>
              <wp:extent cx="5015158" cy="226127"/>
              <wp:effectExtent b="0" l="0" r="0" t="0"/>
              <wp:wrapNone/>
              <wp:docPr id="105169162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15158" cy="226127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1157288</wp:posOffset>
              </wp:positionH>
              <wp:positionV relativeFrom="paragraph">
                <wp:posOffset>-414880</wp:posOffset>
              </wp:positionV>
              <wp:extent cx="5476545" cy="226127"/>
              <wp:effectExtent b="0" l="0" r="0" t="0"/>
              <wp:wrapNone/>
              <wp:docPr id="1051691623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2612490" y="3671699"/>
                        <a:ext cx="5467020" cy="21660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4d182a"/>
                              <w:sz w:val="11"/>
                              <w:vertAlign w:val="baseline"/>
                            </w:rPr>
                            <w:t xml:space="preserve">Av. Instituto Politécnico Nacional No. 195, Playa Palo de Santa Rita Sur, CP. 23096, La Paz, B.C.S., México. Tel: (52) 612 123 8484 www.cibnor.gob.mx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4d182a"/>
                              <w:sz w:val="11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1157288</wp:posOffset>
              </wp:positionH>
              <wp:positionV relativeFrom="paragraph">
                <wp:posOffset>-414880</wp:posOffset>
              </wp:positionV>
              <wp:extent cx="5476545" cy="226127"/>
              <wp:effectExtent b="0" l="0" r="0" t="0"/>
              <wp:wrapNone/>
              <wp:docPr id="105169162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76545" cy="226127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-1068704</wp:posOffset>
          </wp:positionH>
          <wp:positionV relativeFrom="paragraph">
            <wp:posOffset>-251210</wp:posOffset>
          </wp:positionV>
          <wp:extent cx="7761605" cy="10044430"/>
          <wp:effectExtent b="0" l="0" r="0" t="0"/>
          <wp:wrapNone/>
          <wp:docPr id="105169162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61605" cy="1004443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-1101074</wp:posOffset>
          </wp:positionH>
          <wp:positionV relativeFrom="paragraph">
            <wp:posOffset>-470519</wp:posOffset>
          </wp:positionV>
          <wp:extent cx="7800029" cy="10094156"/>
          <wp:effectExtent b="0" l="0" r="0" t="0"/>
          <wp:wrapNone/>
          <wp:docPr id="105169162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00029" cy="10094156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*"/>
      <w:lvlJc w:val="left"/>
      <w:pPr>
        <w:ind w:left="256" w:hanging="141"/>
      </w:pPr>
      <w:rPr>
        <w:rFonts w:ascii="Calibri" w:cs="Calibri" w:eastAsia="Calibri" w:hAnsi="Calibri"/>
        <w:sz w:val="20"/>
        <w:szCs w:val="20"/>
      </w:rPr>
    </w:lvl>
    <w:lvl w:ilvl="1">
      <w:start w:val="3"/>
      <w:numFmt w:val="upperRoman"/>
      <w:lvlText w:val="%2."/>
      <w:lvlJc w:val="left"/>
      <w:pPr>
        <w:ind w:left="1114" w:hanging="567"/>
      </w:pPr>
      <w:rPr>
        <w:rFonts w:ascii="Calibri" w:cs="Calibri" w:eastAsia="Calibri" w:hAnsi="Calibri"/>
        <w:b w:val="1"/>
        <w:sz w:val="21"/>
        <w:szCs w:val="21"/>
      </w:rPr>
    </w:lvl>
    <w:lvl w:ilvl="2">
      <w:start w:val="1"/>
      <w:numFmt w:val="decimal"/>
      <w:lvlText w:val="%3."/>
      <w:lvlJc w:val="left"/>
      <w:pPr>
        <w:ind w:left="1115" w:hanging="425"/>
      </w:pPr>
      <w:rPr>
        <w:rFonts w:ascii="Helvetica Neue" w:cs="Helvetica Neue" w:eastAsia="Helvetica Neue" w:hAnsi="Helvetica Neue"/>
        <w:sz w:val="21"/>
        <w:szCs w:val="21"/>
      </w:rPr>
    </w:lvl>
    <w:lvl w:ilvl="3">
      <w:start w:val="0"/>
      <w:numFmt w:val="bullet"/>
      <w:lvlText w:val="•"/>
      <w:lvlJc w:val="left"/>
      <w:pPr>
        <w:ind w:left="3120" w:hanging="425"/>
      </w:pPr>
      <w:rPr/>
    </w:lvl>
    <w:lvl w:ilvl="4">
      <w:start w:val="0"/>
      <w:numFmt w:val="bullet"/>
      <w:lvlText w:val="•"/>
      <w:lvlJc w:val="left"/>
      <w:pPr>
        <w:ind w:left="4120" w:hanging="425"/>
      </w:pPr>
      <w:rPr/>
    </w:lvl>
    <w:lvl w:ilvl="5">
      <w:start w:val="0"/>
      <w:numFmt w:val="bullet"/>
      <w:lvlText w:val="•"/>
      <w:lvlJc w:val="left"/>
      <w:pPr>
        <w:ind w:left="5120" w:hanging="425"/>
      </w:pPr>
      <w:rPr/>
    </w:lvl>
    <w:lvl w:ilvl="6">
      <w:start w:val="0"/>
      <w:numFmt w:val="bullet"/>
      <w:lvlText w:val="•"/>
      <w:lvlJc w:val="left"/>
      <w:pPr>
        <w:ind w:left="6120" w:hanging="425"/>
      </w:pPr>
      <w:rPr/>
    </w:lvl>
    <w:lvl w:ilvl="7">
      <w:start w:val="0"/>
      <w:numFmt w:val="bullet"/>
      <w:lvlText w:val="•"/>
      <w:lvlJc w:val="left"/>
      <w:pPr>
        <w:ind w:left="7120" w:hanging="425"/>
      </w:pPr>
      <w:rPr/>
    </w:lvl>
    <w:lvl w:ilvl="8">
      <w:start w:val="0"/>
      <w:numFmt w:val="bullet"/>
      <w:lvlText w:val="•"/>
      <w:lvlJc w:val="left"/>
      <w:pPr>
        <w:ind w:left="8120" w:hanging="425"/>
      </w:pPr>
      <w:rPr/>
    </w:lvl>
  </w:abstractNum>
  <w:abstractNum w:abstractNumId="2">
    <w:lvl w:ilvl="0">
      <w:start w:val="1"/>
      <w:numFmt w:val="upperLetter"/>
      <w:lvlText w:val="%1)"/>
      <w:lvlJc w:val="left"/>
      <w:pPr>
        <w:ind w:left="832" w:hanging="360"/>
      </w:pPr>
      <w:rPr/>
    </w:lvl>
    <w:lvl w:ilvl="1">
      <w:start w:val="1"/>
      <w:numFmt w:val="lowerLetter"/>
      <w:lvlText w:val="%2."/>
      <w:lvlJc w:val="left"/>
      <w:pPr>
        <w:ind w:left="1552" w:hanging="360"/>
      </w:pPr>
      <w:rPr/>
    </w:lvl>
    <w:lvl w:ilvl="2">
      <w:start w:val="1"/>
      <w:numFmt w:val="lowerRoman"/>
      <w:lvlText w:val="%3."/>
      <w:lvlJc w:val="right"/>
      <w:pPr>
        <w:ind w:left="2272" w:hanging="180"/>
      </w:pPr>
      <w:rPr/>
    </w:lvl>
    <w:lvl w:ilvl="3">
      <w:start w:val="1"/>
      <w:numFmt w:val="decimal"/>
      <w:lvlText w:val="%4."/>
      <w:lvlJc w:val="left"/>
      <w:pPr>
        <w:ind w:left="2992" w:hanging="360"/>
      </w:pPr>
      <w:rPr/>
    </w:lvl>
    <w:lvl w:ilvl="4">
      <w:start w:val="1"/>
      <w:numFmt w:val="lowerLetter"/>
      <w:lvlText w:val="%5."/>
      <w:lvlJc w:val="left"/>
      <w:pPr>
        <w:ind w:left="3712" w:hanging="360"/>
      </w:pPr>
      <w:rPr/>
    </w:lvl>
    <w:lvl w:ilvl="5">
      <w:start w:val="1"/>
      <w:numFmt w:val="lowerRoman"/>
      <w:lvlText w:val="%6."/>
      <w:lvlJc w:val="right"/>
      <w:pPr>
        <w:ind w:left="4432" w:hanging="180"/>
      </w:pPr>
      <w:rPr/>
    </w:lvl>
    <w:lvl w:ilvl="6">
      <w:start w:val="1"/>
      <w:numFmt w:val="decimal"/>
      <w:lvlText w:val="%7."/>
      <w:lvlJc w:val="left"/>
      <w:pPr>
        <w:ind w:left="5152" w:hanging="360"/>
      </w:pPr>
      <w:rPr/>
    </w:lvl>
    <w:lvl w:ilvl="7">
      <w:start w:val="1"/>
      <w:numFmt w:val="lowerLetter"/>
      <w:lvlText w:val="%8."/>
      <w:lvlJc w:val="left"/>
      <w:pPr>
        <w:ind w:left="5872" w:hanging="360"/>
      </w:pPr>
      <w:rPr/>
    </w:lvl>
    <w:lvl w:ilvl="8">
      <w:start w:val="1"/>
      <w:numFmt w:val="lowerRoman"/>
      <w:lvlText w:val="%9."/>
      <w:lvlJc w:val="right"/>
      <w:pPr>
        <w:ind w:left="6592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MX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widowControl w:val="0"/>
      <w:ind w:left="231"/>
    </w:pPr>
    <w:rPr>
      <w:rFonts w:ascii="Calibri" w:cs="Calibri" w:eastAsia="Calibri" w:hAnsi="Calibri"/>
      <w:b w:val="1"/>
      <w:i w:val="1"/>
      <w:sz w:val="21"/>
      <w:szCs w:val="2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A73D65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A73D65"/>
    <w:rPr>
      <w:rFonts w:eastAsiaTheme="minorEastAsia"/>
      <w:lang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A73D65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A73D65"/>
    <w:rPr>
      <w:rFonts w:eastAsiaTheme="minorEastAsia"/>
      <w:lang w:val="es-ES"/>
    </w:rPr>
  </w:style>
  <w:style w:type="table" w:styleId="TableNormal" w:customStyle="1">
    <w:name w:val="Table Normal"/>
    <w:uiPriority w:val="2"/>
    <w:semiHidden w:val="1"/>
    <w:unhideWhenUsed w:val="1"/>
    <w:qFormat w:val="1"/>
    <w:rsid w:val="00C10370"/>
    <w:pPr>
      <w:widowControl w:val="0"/>
      <w:autoSpaceDE w:val="0"/>
      <w:autoSpaceDN w:val="0"/>
    </w:pPr>
    <w:rPr>
      <w:sz w:val="22"/>
      <w:szCs w:val="22"/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ableParagraph" w:customStyle="1">
    <w:name w:val="Table Paragraph"/>
    <w:basedOn w:val="Normal"/>
    <w:uiPriority w:val="1"/>
    <w:qFormat w:val="1"/>
    <w:rsid w:val="00C10370"/>
    <w:pPr>
      <w:widowControl w:val="0"/>
      <w:autoSpaceDE w:val="0"/>
      <w:autoSpaceDN w:val="0"/>
    </w:pPr>
    <w:rPr>
      <w:rFonts w:ascii="Microsoft Sans Serif" w:cs="Microsoft Sans Serif" w:eastAsia="Microsoft Sans Serif" w:hAnsi="Microsoft Sans Serif"/>
      <w:sz w:val="22"/>
      <w:szCs w:val="22"/>
    </w:rPr>
  </w:style>
  <w:style w:type="paragraph" w:styleId="Prrafodelista">
    <w:name w:val="List Paragraph"/>
    <w:basedOn w:val="Normal"/>
    <w:uiPriority w:val="1"/>
    <w:qFormat w:val="1"/>
    <w:rsid w:val="00C10370"/>
    <w:pPr>
      <w:widowControl w:val="0"/>
      <w:autoSpaceDE w:val="0"/>
      <w:autoSpaceDN w:val="0"/>
      <w:ind w:left="1116" w:right="326" w:hanging="426"/>
      <w:jc w:val="both"/>
    </w:pPr>
    <w:rPr>
      <w:rFonts w:ascii="Microsoft Sans Serif" w:cs="Microsoft Sans Serif" w:eastAsia="Microsoft Sans Serif" w:hAnsi="Microsoft Sans Serif"/>
      <w:sz w:val="22"/>
      <w:szCs w:val="22"/>
    </w:rPr>
  </w:style>
  <w:style w:type="table" w:styleId="Tablaconcuadrcula">
    <w:name w:val="Table Grid"/>
    <w:basedOn w:val="Tablanormal"/>
    <w:uiPriority w:val="39"/>
    <w:rsid w:val="00C10370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A2682A"/>
    <w:rPr>
      <w:rFonts w:ascii="Calibri" w:cs="Calibri" w:eastAsia="Calibri" w:hAnsi="Calibri"/>
      <w:b w:val="1"/>
      <w:bCs w:val="1"/>
      <w:i w:val="1"/>
      <w:iCs w:val="1"/>
      <w:sz w:val="21"/>
      <w:szCs w:val="21"/>
      <w:lang w:val="es-ES"/>
    </w:rPr>
  </w:style>
  <w:style w:type="character" w:styleId="Textoennegrita">
    <w:name w:val="Strong"/>
    <w:basedOn w:val="Fuentedeprrafopredeter"/>
    <w:uiPriority w:val="22"/>
    <w:qFormat w:val="1"/>
    <w:rsid w:val="009328BD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rn2QXuCoU1+9emz46UA8UZpWUA==">CgMxLjA4AHIhMU5jakNuT2VwQzNqYkxURUY5ajdoMEx0bWZzSGVJd0xT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2025-08-27T18:38:00Z</dcterms:created>
  <dc:creator>Pablo Andrés Silva Páez</dc:creator>
</cp:coreProperties>
</file>